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30" w:type="dxa"/>
          <w:right w:w="0" w:type="dxa"/>
        </w:tblCellMar>
        <w:tblLook w:val="04A0" w:firstRow="1" w:lastRow="0" w:firstColumn="1" w:lastColumn="0" w:noHBand="0" w:noVBand="1"/>
      </w:tblPr>
      <w:tblGrid>
        <w:gridCol w:w="1224"/>
        <w:gridCol w:w="1225"/>
        <w:gridCol w:w="1225"/>
        <w:gridCol w:w="1225"/>
        <w:gridCol w:w="1222"/>
        <w:gridCol w:w="1627"/>
        <w:gridCol w:w="556"/>
        <w:gridCol w:w="545"/>
        <w:gridCol w:w="536"/>
      </w:tblGrid>
      <w:tr w:rsidR="00696AE6" w:rsidRPr="00696AE6" w:rsidTr="00696AE6">
        <w:trPr>
          <w:trHeight w:val="375"/>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color w:val="000000"/>
                <w:sz w:val="28"/>
                <w:szCs w:val="28"/>
                <w:lang w:eastAsia="ru-RU"/>
              </w:rPr>
            </w:pPr>
            <w:r w:rsidRPr="00696AE6">
              <w:rPr>
                <w:rFonts w:ascii="Times New Roman" w:eastAsia="Times New Roman" w:hAnsi="Times New Roman" w:cs="Times New Roman"/>
                <w:b/>
                <w:bCs/>
                <w:color w:val="000000"/>
                <w:sz w:val="28"/>
                <w:szCs w:val="28"/>
                <w:lang w:eastAsia="ru-RU"/>
              </w:rPr>
              <w:t>ДОГОВОР ПОСТАВКИ №___________</w:t>
            </w:r>
          </w:p>
        </w:tc>
      </w:tr>
      <w:tr w:rsidR="00696AE6" w:rsidRPr="00696AE6" w:rsidTr="00696AE6">
        <w:trPr>
          <w:trHeight w:val="300"/>
        </w:trPr>
        <w:tc>
          <w:tcPr>
            <w:tcW w:w="0" w:type="auto"/>
            <w:gridSpan w:val="6"/>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г. Нижний Тагил                                                        </w:t>
            </w:r>
            <w:r>
              <w:rPr>
                <w:rFonts w:ascii="Times New Roman" w:eastAsia="Times New Roman" w:hAnsi="Times New Roman" w:cs="Times New Roman"/>
                <w:lang w:eastAsia="ru-RU"/>
              </w:rPr>
              <w:t>                  «___»______20</w:t>
            </w:r>
            <w:r w:rsidRPr="00696AE6">
              <w:rPr>
                <w:rFonts w:ascii="Times New Roman" w:eastAsia="Times New Roman" w:hAnsi="Times New Roman" w:cs="Times New Roman"/>
                <w:lang w:eastAsia="ru-RU"/>
              </w:rPr>
              <w:t> </w:t>
            </w:r>
            <w:r>
              <w:rPr>
                <w:rFonts w:ascii="Times New Roman" w:eastAsia="Times New Roman" w:hAnsi="Times New Roman" w:cs="Times New Roman"/>
                <w:lang w:eastAsia="ru-RU"/>
              </w:rPr>
              <w:t>___г</w:t>
            </w:r>
            <w:r w:rsidRPr="00696AE6">
              <w:rPr>
                <w:rFonts w:ascii="Times New Roman" w:eastAsia="Times New Roman" w:hAnsi="Times New Roman" w:cs="Times New Roman"/>
                <w:lang w:eastAsia="ru-RU"/>
              </w:rPr>
              <w:t>                   </w:t>
            </w:r>
            <w:r>
              <w:rPr>
                <w:rFonts w:ascii="Times New Roman" w:eastAsia="Times New Roman" w:hAnsi="Times New Roman" w:cs="Times New Roman"/>
                <w:lang w:eastAsia="ru-RU"/>
              </w:rPr>
              <w:t>              </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2"/>
            <w:vAlign w:val="center"/>
            <w:hideMark/>
          </w:tcPr>
          <w:p w:rsidR="00696AE6" w:rsidRPr="00696AE6" w:rsidRDefault="00696AE6" w:rsidP="00696AE6">
            <w:pPr>
              <w:spacing w:after="0" w:line="240" w:lineRule="auto"/>
              <w:ind w:left="-948" w:firstLine="17"/>
              <w:rPr>
                <w:rFonts w:ascii="Times New Roman" w:eastAsia="Times New Roman" w:hAnsi="Times New Roman" w:cs="Times New Roman"/>
                <w:lang w:eastAsia="ru-RU"/>
              </w:rPr>
            </w:pPr>
            <w:r>
              <w:rPr>
                <w:rFonts w:ascii="Times New Roman" w:eastAsia="Times New Roman" w:hAnsi="Times New Roman" w:cs="Times New Roman"/>
                <w:lang w:eastAsia="ru-RU"/>
              </w:rPr>
              <w:t>"__"__</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5"/>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165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Общество с ограниченной ответственностью "Строй-Центр" в лице (должность) ________________________________________, действующего на основании Доверенности №____от___________, именуемое в дальнейшем «Поставщик», с одной стороны _____________________ в лице директора ________________, действующий на основании Устава</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 xml:space="preserve"> именуемое(</w:t>
            </w:r>
            <w:proofErr w:type="spellStart"/>
            <w:r w:rsidRPr="00696AE6">
              <w:rPr>
                <w:rFonts w:ascii="Times New Roman" w:eastAsia="Times New Roman" w:hAnsi="Times New Roman" w:cs="Times New Roman"/>
                <w:lang w:eastAsia="ru-RU"/>
              </w:rPr>
              <w:t>ый</w:t>
            </w:r>
            <w:proofErr w:type="spellEnd"/>
            <w:r w:rsidRPr="00696AE6">
              <w:rPr>
                <w:rFonts w:ascii="Times New Roman" w:eastAsia="Times New Roman" w:hAnsi="Times New Roman" w:cs="Times New Roman"/>
                <w:lang w:eastAsia="ru-RU"/>
              </w:rPr>
              <w:t>) в дальнейшем «Покупатель», с другой стороны, заключили настоящий договор о нижеследующем:,</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1. ПРЕДМЕТ ДОГОВОРА</w:t>
            </w:r>
          </w:p>
        </w:tc>
      </w:tr>
      <w:tr w:rsidR="00696AE6" w:rsidRPr="00696AE6" w:rsidTr="00696AE6">
        <w:trPr>
          <w:trHeight w:val="435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1.1. Поставщик обязуется передать в собственность Покупателя товары, указанные в п.1.2. настоящего Договора, а Покупатель обязуется принять указанные товары и своевременно их оплатить на условиях настоящего Договора. 1.2. Предметом поставки являются товары, указанные в Унифицированном передаточном документе (УПД), или по требованию одной из Сторон – в Спецификациях, являющихся неотъемлемой частью настоящего Договора. 1.3. Качество и комплектность поставляемых товаров должно соответствовать стандартам, техническим условиям, действующим в Российской Федерации, и подтверждаться сертификатами качества. 1.4. Право собственности на товар переходит от Поставщика к Покупателю с момента фактической передачи товара Покупателю, либо его доверенному лицу и подписи УПД. Поставленный товар находится у Поставщика в залоге до момента полной его оплаты Покупателем. 1.5. Поставщик обязуется: 1.5.1.обеспечивать своими силами погрузку товара и, по согласованию с Покупателем, доставку за счет Покупателя. 1.5.2. В согласованное с Покупателем время передать Покупателю товар и относящиеся к нему документы: Унифицированный передаточный документ (УПД) и Спецификации (при наличии).</w:t>
            </w:r>
          </w:p>
        </w:tc>
      </w:tr>
      <w:tr w:rsidR="00696AE6" w:rsidRPr="00696AE6" w:rsidTr="00696AE6">
        <w:trPr>
          <w:trHeight w:val="32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1.6. Покупатель обязуется: 1.6.1.принять товар на складе Поставщика в оговоренные обеими сторонами сроки 1.6.2.При приемке товара проверить соответствие товара по Унифицированному передаточному документу (УПД), Спецификациям (при наличии) наименование товара, его ассортимент, количество, качество, вес, целостность упаковки. 1.6.3. Унифицированный передаточный документ (УПД) и Спецификации (при наличии) оформляются с НДС. 1.6.4. своевременно оплачивать товар в соответствии с условиями настоящего Договора. При нарушении оговоренных сроков оплаты Поставщик по своему усмотрению вправе потребовать от Покупателя в письменной форме возвратить неоплаченный товар с оплатой транспортных расходов, либо потребовать оплаты переданного товара. 1.7. Товар поставляется партиями. В случае оформления Спецификации к настоящему договору, в ней отражаются конкретные условия поставки на каждую партию товара</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2. Порядок и сроки расчетов</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2.1. Покупатель производит оплату поставленного ему товара на следующих условиях: </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color w:val="000000"/>
                <w:sz w:val="20"/>
                <w:szCs w:val="20"/>
                <w:lang w:eastAsia="ru-RU"/>
              </w:rPr>
            </w:pPr>
            <w:r w:rsidRPr="00696AE6">
              <w:rPr>
                <w:rFonts w:ascii="Times New Roman" w:eastAsia="Times New Roman" w:hAnsi="Times New Roman" w:cs="Times New Roman"/>
                <w:b/>
                <w:bCs/>
                <w:color w:val="000000"/>
                <w:sz w:val="20"/>
                <w:szCs w:val="20"/>
                <w:lang w:eastAsia="ru-RU"/>
              </w:rPr>
              <w:t>_______________предварительная 100% оплата_____________</w:t>
            </w:r>
          </w:p>
        </w:tc>
      </w:tr>
      <w:tr w:rsidR="00696AE6" w:rsidRPr="00696AE6" w:rsidTr="00696AE6">
        <w:trPr>
          <w:trHeight w:val="24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sz w:val="20"/>
                <w:szCs w:val="20"/>
                <w:lang w:eastAsia="ru-RU"/>
              </w:rPr>
            </w:pPr>
            <w:r w:rsidRPr="00696AE6">
              <w:rPr>
                <w:rFonts w:ascii="Times New Roman" w:eastAsia="Times New Roman" w:hAnsi="Times New Roman" w:cs="Times New Roman"/>
                <w:b/>
                <w:bCs/>
                <w:sz w:val="20"/>
                <w:szCs w:val="20"/>
                <w:lang w:eastAsia="ru-RU"/>
              </w:rPr>
              <w:t>(указать: «отсрочка платежа» или «предварительная 100% оплата»)</w:t>
            </w:r>
          </w:p>
        </w:tc>
      </w:tr>
      <w:tr w:rsidR="00696AE6" w:rsidRPr="00696AE6" w:rsidTr="00696AE6">
        <w:trPr>
          <w:trHeight w:val="219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 При условии отсрочки платежа, Покупатель оплачивает поставленный товар в течение 10 календарных дней с момента получения товара путем перечисления денежных средств на расчетный счет Поставщика, наличными в кассу, или в иных </w:t>
            </w:r>
            <w:proofErr w:type="gramStart"/>
            <w:r w:rsidRPr="00696AE6">
              <w:rPr>
                <w:rFonts w:ascii="Times New Roman" w:eastAsia="Times New Roman" w:hAnsi="Times New Roman" w:cs="Times New Roman"/>
                <w:lang w:eastAsia="ru-RU"/>
              </w:rPr>
              <w:t>формах</w:t>
            </w:r>
            <w:proofErr w:type="gramEnd"/>
            <w:r w:rsidRPr="00696AE6">
              <w:rPr>
                <w:rFonts w:ascii="Times New Roman" w:eastAsia="Times New Roman" w:hAnsi="Times New Roman" w:cs="Times New Roman"/>
                <w:lang w:eastAsia="ru-RU"/>
              </w:rPr>
              <w:t xml:space="preserve"> не запрещенных действующим законодательством РФ. • При условии предварительной 100% оплаты за поставленный товар, Покупатель производит предварительную оплату </w:t>
            </w:r>
            <w:proofErr w:type="gramStart"/>
            <w:r w:rsidRPr="00696AE6">
              <w:rPr>
                <w:rFonts w:ascii="Times New Roman" w:eastAsia="Times New Roman" w:hAnsi="Times New Roman" w:cs="Times New Roman"/>
                <w:lang w:eastAsia="ru-RU"/>
              </w:rPr>
              <w:t>согласно</w:t>
            </w:r>
            <w:proofErr w:type="gramEnd"/>
            <w:r w:rsidRPr="00696AE6">
              <w:rPr>
                <w:rFonts w:ascii="Times New Roman" w:eastAsia="Times New Roman" w:hAnsi="Times New Roman" w:cs="Times New Roman"/>
                <w:lang w:eastAsia="ru-RU"/>
              </w:rPr>
              <w:t xml:space="preserve"> выставленного счета в течение 3-х банковских дней путем перечисления денежных средств на расчетный счет Поставщика, наличными в кассу или в иных формах, не запрещенных действующим законодательством РФ. По соглашению сторон возможна иная форма оплаты, оформляемая дополнительным соглашением к настоящему договору.</w:t>
            </w:r>
          </w:p>
        </w:tc>
      </w:tr>
      <w:tr w:rsidR="00696AE6" w:rsidRPr="00696AE6" w:rsidTr="00696AE6">
        <w:trPr>
          <w:trHeight w:val="111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2.2. Сверка дебиторской и кредиторской задолженности производится сторонами не реже 1 раза в квартал и осуществляется в следующем порядке: Одна Сторона отправляет другой Стороне Акт сверки, в ответ Сторона, получивший Акт сверки обязан принять, подписать и возвратить другой Стороне Акт сверки, либо представить свои возражения с подтверждающими документами. </w:t>
            </w:r>
          </w:p>
        </w:tc>
      </w:tr>
      <w:tr w:rsidR="00696AE6" w:rsidRPr="00696AE6" w:rsidTr="00696AE6">
        <w:trPr>
          <w:trHeight w:val="84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2.3. Общая сумма настоящего Договора складывается из стоимости Товара, поставленного по всем Унифицированным передаточным документам (УПД) и Спецификациям (при наличии) в период действия Договора.</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3.   Порядок и исполнение договора</w:t>
            </w:r>
          </w:p>
        </w:tc>
      </w:tr>
      <w:tr w:rsidR="00696AE6" w:rsidRPr="00696AE6" w:rsidTr="00696AE6">
        <w:trPr>
          <w:trHeight w:val="489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3.1. Приемка товара производится на складе Поставщика (при выборке Товара) или на складе Покупателя (при доставке Товара): а) по качеству – согласно сертификатам качества; б) по количеству – согласно количеству мест и весу, указанному в Унифицированном передаточном документе (УПД). 3.2. Покупатель имеет право вскрывать упаковку и проверять соответствие содержимого упаковки Унифицированному передаточному документу (УПД). В случае если Покупатель примет товар без проверки содержимого упаковок, он не вправе ссылаться на то обстоятельство, что в упаковке находился товар, ассортимент или качество которого не соответствовали Унифицированному передаточному документу (УПД). 3.3. Риск утраты, случайной гибели или повреждения товара, а также бремя содержания переходит на Покупателя в момент приемки товара от Поставщика или передачи товара Поставщиком первому перевозчику. 3.4. В случае обнаружения скрытых дефектов товара, претензии должны быть предъявлены Поставщику в письменной форме в срок не позднее 10 (десяти) календарных дней со дня приемки соответствующей партии товаров, согласно Инструкции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w:t>
            </w:r>
          </w:p>
        </w:tc>
      </w:tr>
      <w:tr w:rsidR="00696AE6" w:rsidRPr="00696AE6" w:rsidTr="00696AE6">
        <w:trPr>
          <w:trHeight w:val="15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sz w:val="16"/>
                <w:lang w:eastAsia="ru-RU"/>
              </w:rPr>
            </w:pP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3.5. Ни одна из сторон не имеет право передавать права и обязанности третьим лицам без письменного согласия другой стороны по настоящему договору.</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4.    Ответственности сторон</w:t>
            </w:r>
          </w:p>
        </w:tc>
      </w:tr>
      <w:tr w:rsidR="00696AE6" w:rsidRPr="00696AE6" w:rsidTr="00696AE6">
        <w:trPr>
          <w:trHeight w:val="273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4.1. За неисполнение или ненадлежащее исполнение принятых обязательств, стороны несут ответственность в соответствии с действующим законодательством Российской Федерации. 4.2. В случае возникновения разногласий по настоящему договору, стороны прикладывают максимальные усилия по урегулированию разногласий путем переговоров. Обязателен досудебный (претензионный) порядок урегулирования спора. Срок ответа на претензию – 10 календарных дней с момента получения. При </w:t>
            </w:r>
            <w:proofErr w:type="gramStart"/>
            <w:r w:rsidRPr="00696AE6">
              <w:rPr>
                <w:rFonts w:ascii="Times New Roman" w:eastAsia="Times New Roman" w:hAnsi="Times New Roman" w:cs="Times New Roman"/>
                <w:lang w:eastAsia="ru-RU"/>
              </w:rPr>
              <w:t>не достижении</w:t>
            </w:r>
            <w:proofErr w:type="gramEnd"/>
            <w:r w:rsidRPr="00696AE6">
              <w:rPr>
                <w:rFonts w:ascii="Times New Roman" w:eastAsia="Times New Roman" w:hAnsi="Times New Roman" w:cs="Times New Roman"/>
                <w:lang w:eastAsia="ru-RU"/>
              </w:rPr>
              <w:t xml:space="preserve"> согласия спор передается на рассмотрение Арбитражного суда Свердловской области. 4.3. В случае нарушения Покупателем сроков оплаты за товар, он обязан выплатить Поставщику пеню в размере 0,1% </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ноль один процент) от стоимости неоплаченного товара за каждый день просрочки платежа, начиная со следующего дня, после даты истечения срока платежа. 4.4. Окончание срока действия Договора не освобождает сторон от ответственности.</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5.   </w:t>
            </w:r>
            <w:proofErr w:type="gramStart"/>
            <w:r w:rsidRPr="00696AE6">
              <w:rPr>
                <w:rFonts w:ascii="Times New Roman" w:eastAsia="Times New Roman" w:hAnsi="Times New Roman" w:cs="Times New Roman"/>
                <w:b/>
                <w:bCs/>
                <w:lang w:eastAsia="ru-RU"/>
              </w:rPr>
              <w:t>Форс</w:t>
            </w:r>
            <w:proofErr w:type="gramEnd"/>
            <w:r w:rsidRPr="00696AE6">
              <w:rPr>
                <w:rFonts w:ascii="Times New Roman" w:eastAsia="Times New Roman" w:hAnsi="Times New Roman" w:cs="Times New Roman"/>
                <w:b/>
                <w:bCs/>
                <w:lang w:eastAsia="ru-RU"/>
              </w:rPr>
              <w:t> – мажор</w:t>
            </w:r>
          </w:p>
        </w:tc>
      </w:tr>
      <w:tr w:rsidR="00696AE6" w:rsidRPr="00696AE6" w:rsidTr="00696AE6">
        <w:trPr>
          <w:trHeight w:val="381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5.1. </w:t>
            </w:r>
            <w:proofErr w:type="gramStart"/>
            <w:r w:rsidRPr="00696AE6">
              <w:rPr>
                <w:rFonts w:ascii="Times New Roman" w:eastAsia="Times New Roman" w:hAnsi="Times New Roman" w:cs="Times New Roman"/>
                <w:lang w:eastAsia="ru-RU"/>
              </w:rPr>
              <w:t>При возникновении обстоятельств, которые делают полностью или частично невозможными выполнение договора одной из сторон, а именно: пожар, стихийное бедствие, война, военные действия всех видов, замена текущего законодательства и другие возможные обстоятельства непреодолимой силы, не зависящие от воли сторон, сроки выполнения обязательств продлеваются на то время, в течение которого действуют эти обстоятельства. 5.2.</w:t>
            </w:r>
            <w:proofErr w:type="gramEnd"/>
            <w:r w:rsidRPr="00696AE6">
              <w:rPr>
                <w:rFonts w:ascii="Times New Roman" w:eastAsia="Times New Roman" w:hAnsi="Times New Roman" w:cs="Times New Roman"/>
                <w:lang w:eastAsia="ru-RU"/>
              </w:rPr>
              <w:t xml:space="preserve"> Если обстоятельства непреодолимой силы действуют в течени</w:t>
            </w:r>
            <w:proofErr w:type="gramStart"/>
            <w:r w:rsidRPr="00696AE6">
              <w:rPr>
                <w:rFonts w:ascii="Times New Roman" w:eastAsia="Times New Roman" w:hAnsi="Times New Roman" w:cs="Times New Roman"/>
                <w:lang w:eastAsia="ru-RU"/>
              </w:rPr>
              <w:t>и</w:t>
            </w:r>
            <w:proofErr w:type="gramEnd"/>
            <w:r w:rsidRPr="00696AE6">
              <w:rPr>
                <w:rFonts w:ascii="Times New Roman" w:eastAsia="Times New Roman" w:hAnsi="Times New Roman" w:cs="Times New Roman"/>
                <w:lang w:eastAsia="ru-RU"/>
              </w:rPr>
              <w:t xml:space="preserve">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стороны возмещения возможных убытков. 5.3. Сторона, отказавшаяся не в состоянии выполнить свои обязательства по настоящему договору, обязана незамедлительно известить другую сторону </w:t>
            </w:r>
            <w:proofErr w:type="gramStart"/>
            <w:r w:rsidRPr="00696AE6">
              <w:rPr>
                <w:rFonts w:ascii="Times New Roman" w:eastAsia="Times New Roman" w:hAnsi="Times New Roman" w:cs="Times New Roman"/>
                <w:lang w:eastAsia="ru-RU"/>
              </w:rPr>
              <w:t xml:space="preserve">( </w:t>
            </w:r>
            <w:proofErr w:type="gramEnd"/>
            <w:r w:rsidRPr="00696AE6">
              <w:rPr>
                <w:rFonts w:ascii="Times New Roman" w:eastAsia="Times New Roman" w:hAnsi="Times New Roman" w:cs="Times New Roman"/>
                <w:lang w:eastAsia="ru-RU"/>
              </w:rPr>
              <w:t xml:space="preserve">при наличии связи) о наступлении или прекращении действия обстоятельств, препятствующих выполнению ею этих обязательств. Уведомление направляется по юридическому адресу, указанному в договоре, и заверяется передающим отделением связи. Также в обязательном порядке предоставляется документальное подтверждение факта возникновения форс-мажора, выданное Торгово-промышленной палатой или органом государственной власти. </w:t>
            </w: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6. Прочие условия</w:t>
            </w:r>
          </w:p>
        </w:tc>
      </w:tr>
      <w:tr w:rsidR="00696AE6" w:rsidRPr="00696AE6" w:rsidTr="00696AE6">
        <w:trPr>
          <w:trHeight w:val="300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6.1. Настоящий договор составлен в двух идентичных экземплярах, имеющих одинаковую юридическую, силу, по одному для каждой из Сторон. 6.2. Договор вступает в силу с момента его подписания Сторонами и действует в срок до 31 декабря 2021 г.. 6.3. В случае если ни одна из сторон за один месяц до истечения срока действия настоящего договора не заявит о его расторжении, то договор считается пролонгированным на тот же срок и на тех же условиях. Договор может быть пролонгирован неограниченное число раз. 6.4. Все изменения и дополнения к настоящему Договору должны быть составлены в письменной форме и подписаны уполномоченными представителями Сторон. 6.5. Договор, может быть, расторгнут по соглашению сторон или в порядке, предусмотренном действующим гражданским законодательством.</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6.5.1. Допускается расторжение Договора в одностороннем порядке со стороны Поставщика, при нарушении условий настоящего Договора Покупателем.</w:t>
            </w:r>
          </w:p>
        </w:tc>
      </w:tr>
      <w:tr w:rsidR="00696AE6" w:rsidRPr="00696AE6" w:rsidTr="00696AE6">
        <w:trPr>
          <w:trHeight w:val="408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6.6. При изменении системы налогообложении каждая из сторон обязана в письменном виде уведомить об этом другую сторону с приложением надлежащим образом заверенных копий подтверждающих документов в срок не более 10 рабочих дней, </w:t>
            </w:r>
            <w:proofErr w:type="gramStart"/>
            <w:r w:rsidRPr="00696AE6">
              <w:rPr>
                <w:rFonts w:ascii="Times New Roman" w:eastAsia="Times New Roman" w:hAnsi="Times New Roman" w:cs="Times New Roman"/>
                <w:lang w:eastAsia="ru-RU"/>
              </w:rPr>
              <w:t>с даты изменения</w:t>
            </w:r>
            <w:proofErr w:type="gramEnd"/>
            <w:r w:rsidRPr="00696AE6">
              <w:rPr>
                <w:rFonts w:ascii="Times New Roman" w:eastAsia="Times New Roman" w:hAnsi="Times New Roman" w:cs="Times New Roman"/>
                <w:lang w:eastAsia="ru-RU"/>
              </w:rPr>
              <w:t xml:space="preserve"> режима налогообложения. 6.7. Все документы, связанные с заключением, изменением и исполнением настоящего договора, переданные посредством факсимильной связи, либо электронной связью, имеют юридическую силу до получения оригиналов этих документов. Оригиналы документов должны быть предоставлены другой стороне не позднее 30 (тридцати) календарных дней, с момента направления Стороной копий этих документов. 6.8. Во всем ином, что не оговорено настоящим договором, стороны руководствуются действующим законодательством Российской Федерации. 6.9. Заголовки разделов предназначены для удобства пользования текстом, и они не будут приниматься во внимание при толковании настоящего Договора. 6.10. Настоящий Договор составляет и выражает все договорные условия и понимание между участвующими здесь сторонами в отношении всех упомянутых здесь вопросов, при этом все предыдущие обсуждения, обещания и представления между сторонами, если таковые имелись, теряют силу</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Default="00696AE6" w:rsidP="00696AE6">
            <w:pPr>
              <w:spacing w:after="0" w:line="240" w:lineRule="auto"/>
              <w:jc w:val="center"/>
              <w:rPr>
                <w:rFonts w:ascii="Times New Roman" w:eastAsia="Times New Roman" w:hAnsi="Times New Roman" w:cs="Times New Roman"/>
                <w:b/>
                <w:bCs/>
                <w:lang w:eastAsia="ru-RU"/>
              </w:rPr>
            </w:pPr>
          </w:p>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7. Юридические адреса и банковские реквизиты сторон:</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lastRenderedPageBreak/>
              <w:t xml:space="preserve">7.1. В случае изменения юридического адреса или обслуживающего банка, стороны обязаны в 3-дневный срок уведомить об этом друг друга </w:t>
            </w:r>
            <w:proofErr w:type="gramStart"/>
            <w:r w:rsidRPr="00696AE6">
              <w:rPr>
                <w:rFonts w:ascii="Times New Roman" w:eastAsia="Times New Roman" w:hAnsi="Times New Roman" w:cs="Times New Roman"/>
                <w:lang w:eastAsia="ru-RU"/>
              </w:rPr>
              <w:t>по</w:t>
            </w:r>
            <w:proofErr w:type="gramEnd"/>
            <w:r w:rsidRPr="00696AE6">
              <w:rPr>
                <w:rFonts w:ascii="Times New Roman" w:eastAsia="Times New Roman" w:hAnsi="Times New Roman" w:cs="Times New Roman"/>
                <w:lang w:eastAsia="ru-RU"/>
              </w:rPr>
              <w:t xml:space="preserve"> </w:t>
            </w:r>
            <w:proofErr w:type="gramStart"/>
            <w:r w:rsidRPr="00696AE6">
              <w:rPr>
                <w:rFonts w:ascii="Times New Roman" w:eastAsia="Times New Roman" w:hAnsi="Times New Roman" w:cs="Times New Roman"/>
                <w:lang w:eastAsia="ru-RU"/>
              </w:rPr>
              <w:t>средством</w:t>
            </w:r>
            <w:proofErr w:type="gramEnd"/>
            <w:r w:rsidRPr="00696AE6">
              <w:rPr>
                <w:rFonts w:ascii="Times New Roman" w:eastAsia="Times New Roman" w:hAnsi="Times New Roman" w:cs="Times New Roman"/>
                <w:lang w:eastAsia="ru-RU"/>
              </w:rPr>
              <w:t xml:space="preserve"> почтовой, факсимильной или электронной связи.</w:t>
            </w:r>
          </w:p>
        </w:tc>
      </w:tr>
      <w:tr w:rsidR="00696AE6" w:rsidRPr="00696AE6" w:rsidTr="00696AE6">
        <w:trPr>
          <w:trHeight w:val="57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7.2.  Реквизиты сторон.</w:t>
            </w:r>
            <w:r w:rsidRPr="00696AE6">
              <w:rPr>
                <w:rFonts w:ascii="Times New Roman" w:eastAsia="Times New Roman" w:hAnsi="Times New Roman" w:cs="Times New Roman"/>
                <w:b/>
                <w:bCs/>
                <w:lang w:eastAsia="ru-RU"/>
              </w:rPr>
              <w:br/>
              <w:t> Поставщик: </w:t>
            </w: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Поставщик:</w:t>
            </w:r>
            <w:bookmarkStart w:id="0" w:name="_GoBack"/>
            <w:bookmarkEnd w:id="0"/>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ООО "Строй-Центр"</w:t>
            </w:r>
          </w:p>
        </w:tc>
      </w:tr>
      <w:tr w:rsidR="00696AE6" w:rsidRPr="00696AE6" w:rsidTr="00696AE6">
        <w:trPr>
          <w:trHeight w:val="84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xml:space="preserve">622049, Свердловская </w:t>
            </w:r>
            <w:proofErr w:type="spellStart"/>
            <w:r w:rsidRPr="00696AE6">
              <w:rPr>
                <w:rFonts w:ascii="Times New Roman" w:eastAsia="Times New Roman" w:hAnsi="Times New Roman" w:cs="Times New Roman"/>
                <w:lang w:eastAsia="ru-RU"/>
              </w:rPr>
              <w:t>обл</w:t>
            </w:r>
            <w:proofErr w:type="spellEnd"/>
            <w:r w:rsidRPr="00696AE6">
              <w:rPr>
                <w:rFonts w:ascii="Times New Roman" w:eastAsia="Times New Roman" w:hAnsi="Times New Roman" w:cs="Times New Roman"/>
                <w:lang w:eastAsia="ru-RU"/>
              </w:rPr>
              <w:t xml:space="preserve">, </w:t>
            </w:r>
            <w:proofErr w:type="spellStart"/>
            <w:r w:rsidRPr="00696AE6">
              <w:rPr>
                <w:rFonts w:ascii="Times New Roman" w:eastAsia="Times New Roman" w:hAnsi="Times New Roman" w:cs="Times New Roman"/>
                <w:lang w:eastAsia="ru-RU"/>
              </w:rPr>
              <w:t>г</w:t>
            </w:r>
            <w:proofErr w:type="gramStart"/>
            <w:r w:rsidRPr="00696AE6">
              <w:rPr>
                <w:rFonts w:ascii="Times New Roman" w:eastAsia="Times New Roman" w:hAnsi="Times New Roman" w:cs="Times New Roman"/>
                <w:lang w:eastAsia="ru-RU"/>
              </w:rPr>
              <w:t>.Н</w:t>
            </w:r>
            <w:proofErr w:type="gramEnd"/>
            <w:r w:rsidRPr="00696AE6">
              <w:rPr>
                <w:rFonts w:ascii="Times New Roman" w:eastAsia="Times New Roman" w:hAnsi="Times New Roman" w:cs="Times New Roman"/>
                <w:lang w:eastAsia="ru-RU"/>
              </w:rPr>
              <w:t>ижний</w:t>
            </w:r>
            <w:proofErr w:type="spellEnd"/>
            <w:r w:rsidRPr="00696AE6">
              <w:rPr>
                <w:rFonts w:ascii="Times New Roman" w:eastAsia="Times New Roman" w:hAnsi="Times New Roman" w:cs="Times New Roman"/>
                <w:lang w:eastAsia="ru-RU"/>
              </w:rPr>
              <w:t xml:space="preserve"> Тагил, Черноисточинское шоссе, дом № 78, ИНН 6623064973, КПП 662301001,ОГРН ,р/</w:t>
            </w:r>
            <w:proofErr w:type="spellStart"/>
            <w:r w:rsidRPr="00696AE6">
              <w:rPr>
                <w:rFonts w:ascii="Times New Roman" w:eastAsia="Times New Roman" w:hAnsi="Times New Roman" w:cs="Times New Roman"/>
                <w:lang w:eastAsia="ru-RU"/>
              </w:rPr>
              <w:t>сч</w:t>
            </w:r>
            <w:proofErr w:type="spellEnd"/>
            <w:r w:rsidRPr="00696AE6">
              <w:rPr>
                <w:rFonts w:ascii="Times New Roman" w:eastAsia="Times New Roman" w:hAnsi="Times New Roman" w:cs="Times New Roman"/>
                <w:lang w:eastAsia="ru-RU"/>
              </w:rPr>
              <w:t xml:space="preserve"> 40702810916220049835 к/с 30101810500000000674 в УРАЛЬСКИЙ БАНК ПАО СБЕРБАНК БИК 046577674, ОКПО </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5"/>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Покупатель:</w:t>
            </w: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rPr>
                <w:rFonts w:ascii="Times New Roman" w:eastAsia="Times New Roman" w:hAnsi="Times New Roman" w:cs="Times New Roman"/>
                <w:b/>
                <w:bCs/>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both"/>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9"/>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 Подписи сторон:</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от Поставщика</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b/>
                <w:bCs/>
                <w:lang w:eastAsia="ru-RU"/>
              </w:rPr>
            </w:pPr>
            <w:r w:rsidRPr="00696AE6">
              <w:rPr>
                <w:rFonts w:ascii="Times New Roman" w:eastAsia="Times New Roman" w:hAnsi="Times New Roman" w:cs="Times New Roman"/>
                <w:b/>
                <w:bCs/>
                <w:lang w:eastAsia="ru-RU"/>
              </w:rPr>
              <w:t>от Покупателя</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_______________________/                               / </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 _______________________/                         / </w:t>
            </w:r>
          </w:p>
        </w:tc>
      </w:tr>
      <w:tr w:rsidR="00696AE6" w:rsidRPr="00696AE6" w:rsidTr="00696AE6">
        <w:trPr>
          <w:trHeight w:val="300"/>
        </w:trPr>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(подпись)</w:t>
            </w: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4"/>
            <w:vAlign w:val="center"/>
            <w:hideMark/>
          </w:tcPr>
          <w:p w:rsidR="00696AE6" w:rsidRPr="00696AE6" w:rsidRDefault="00696AE6" w:rsidP="00696AE6">
            <w:pPr>
              <w:spacing w:after="0" w:line="240" w:lineRule="auto"/>
              <w:jc w:val="center"/>
              <w:rPr>
                <w:rFonts w:ascii="Times New Roman" w:eastAsia="Times New Roman" w:hAnsi="Times New Roman" w:cs="Times New Roman"/>
                <w:lang w:eastAsia="ru-RU"/>
              </w:rPr>
            </w:pPr>
            <w:r w:rsidRPr="00696AE6">
              <w:rPr>
                <w:rFonts w:ascii="Times New Roman" w:eastAsia="Times New Roman" w:hAnsi="Times New Roman" w:cs="Times New Roman"/>
                <w:lang w:eastAsia="ru-RU"/>
              </w:rPr>
              <w:t>(подпись)</w:t>
            </w: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gridSpan w:val="6"/>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r w:rsidR="00696AE6" w:rsidRPr="00696AE6" w:rsidTr="00696AE6">
        <w:trPr>
          <w:trHeight w:val="300"/>
        </w:trPr>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c>
          <w:tcPr>
            <w:tcW w:w="0" w:type="auto"/>
            <w:vAlign w:val="center"/>
            <w:hideMark/>
          </w:tcPr>
          <w:p w:rsidR="00696AE6" w:rsidRPr="00696AE6" w:rsidRDefault="00696AE6" w:rsidP="00696AE6">
            <w:pPr>
              <w:spacing w:after="0" w:line="240" w:lineRule="auto"/>
              <w:rPr>
                <w:rFonts w:ascii="Times New Roman" w:eastAsia="Times New Roman" w:hAnsi="Times New Roman" w:cs="Times New Roman"/>
                <w:lang w:eastAsia="ru-RU"/>
              </w:rPr>
            </w:pPr>
          </w:p>
        </w:tc>
      </w:tr>
    </w:tbl>
    <w:p w:rsidR="00A86F32" w:rsidRDefault="00A86F32"/>
    <w:sectPr w:rsidR="00A86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E6"/>
    <w:rsid w:val="00696AE6"/>
    <w:rsid w:val="00A8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ЧШ78-13</dc:creator>
  <cp:lastModifiedBy>ЧШ78-13</cp:lastModifiedBy>
  <cp:revision>1</cp:revision>
  <dcterms:created xsi:type="dcterms:W3CDTF">2022-09-20T03:38:00Z</dcterms:created>
  <dcterms:modified xsi:type="dcterms:W3CDTF">2022-09-20T03:41:00Z</dcterms:modified>
</cp:coreProperties>
</file>